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before="280" w:line="24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LIDL: AL VIA L’UTILIZZO DEI BUONI PASTO PER LA SPESA IN TUTTA LA RETE VENDITA</w:t>
      </w:r>
    </w:p>
    <w:p w:rsidR="00000000" w:rsidDel="00000000" w:rsidP="00000000" w:rsidRDefault="00000000" w:rsidRPr="00000000" w14:paraId="00000002">
      <w:pPr>
        <w:jc w:val="center"/>
        <w:rPr>
          <w:rFonts w:ascii="Calibri" w:cs="Calibri" w:eastAsia="Calibri" w:hAnsi="Calibri"/>
          <w:i w:val="1"/>
          <w:iCs w:val="1"/>
          <w:color w:val="27251e"/>
          <w:sz w:val="32"/>
          <w:szCs w:val="32"/>
        </w:rPr>
      </w:pPr>
      <w:r w:rsidDel="00000000" w:rsidR="00000000" w:rsidRPr="00000000">
        <w:rPr>
          <w:rFonts w:ascii="Calibri" w:cs="Calibri" w:eastAsia="Calibri" w:hAnsi="Calibri"/>
          <w:i w:val="1"/>
          <w:iCs w:val="1"/>
          <w:color w:val="27251e"/>
          <w:sz w:val="32"/>
          <w:szCs w:val="32"/>
          <w:rtl w:val="0"/>
        </w:rPr>
        <w:t xml:space="preserve">I Buoni Pasto dei principali </w:t>
      </w:r>
      <w:r w:rsidDel="00000000" w:rsidR="00000000" w:rsidRPr="00000000">
        <w:rPr>
          <w:rFonts w:ascii="Calibri" w:cs="Calibri" w:eastAsia="Calibri" w:hAnsi="Calibri"/>
          <w:i w:val="1"/>
          <w:iCs w:val="1"/>
          <w:color w:val="27251e"/>
          <w:sz w:val="32"/>
          <w:szCs w:val="32"/>
          <w:rtl w:val="0"/>
        </w:rPr>
        <w:t xml:space="preserve">emettitori presenti </w:t>
      </w:r>
      <w:r w:rsidDel="00000000" w:rsidR="00000000" w:rsidRPr="00000000">
        <w:rPr>
          <w:rFonts w:ascii="Calibri" w:cs="Calibri" w:eastAsia="Calibri" w:hAnsi="Calibri"/>
          <w:i w:val="1"/>
          <w:iCs w:val="1"/>
          <w:color w:val="27251e"/>
          <w:sz w:val="32"/>
          <w:szCs w:val="32"/>
          <w:rtl w:val="0"/>
        </w:rPr>
        <w:t xml:space="preserve">in Italia possono ora essere utilizzati negli oltre 800 punti vendita </w:t>
      </w:r>
      <w:r w:rsidDel="00000000" w:rsidR="00000000" w:rsidRPr="00000000">
        <w:rPr>
          <w:rFonts w:ascii="Calibri" w:cs="Calibri" w:eastAsia="Calibri" w:hAnsi="Calibri"/>
          <w:i w:val="1"/>
          <w:iCs w:val="1"/>
          <w:color w:val="27251e"/>
          <w:sz w:val="32"/>
          <w:szCs w:val="32"/>
          <w:rtl w:val="0"/>
        </w:rPr>
        <w:t xml:space="preserve">dell'Insegna sul</w:t>
      </w:r>
      <w:r w:rsidDel="00000000" w:rsidR="00000000" w:rsidRPr="00000000">
        <w:rPr>
          <w:rFonts w:ascii="Calibri" w:cs="Calibri" w:eastAsia="Calibri" w:hAnsi="Calibri"/>
          <w:i w:val="1"/>
          <w:iCs w:val="1"/>
          <w:color w:val="27251e"/>
          <w:sz w:val="32"/>
          <w:szCs w:val="32"/>
          <w:rtl w:val="0"/>
        </w:rPr>
        <w:t xml:space="preserve"> territorio nazionale. Un servizio che amplia le modalità di accesso alla spesa quotidiana e offre un supporto concreto al potere d’acquisto di milioni di famiglie.</w:t>
      </w:r>
    </w:p>
    <w:p w:rsidR="00000000" w:rsidDel="00000000" w:rsidP="00000000" w:rsidRDefault="00000000" w:rsidRPr="00000000" w14:paraId="00000003">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4">
      <w:pPr>
        <w:spacing w:after="0" w:line="276" w:lineRule="auto"/>
        <w:jc w:val="both"/>
        <w:rPr>
          <w:rFonts w:ascii="Calibri" w:cs="Calibri" w:eastAsia="Calibri" w:hAnsi="Calibri"/>
        </w:rPr>
      </w:pPr>
      <w:r w:rsidDel="00000000" w:rsidR="00000000" w:rsidRPr="00000000">
        <w:rPr>
          <w:rFonts w:ascii="Calibri" w:cs="Calibri" w:eastAsia="Calibri" w:hAnsi="Calibri"/>
          <w:color w:val="000000"/>
          <w:rtl w:val="0"/>
        </w:rPr>
        <w:t xml:space="preserve">Arcole (VR), </w:t>
      </w:r>
      <w:r w:rsidDel="00000000" w:rsidR="00000000" w:rsidRPr="00000000">
        <w:rPr>
          <w:rFonts w:ascii="Calibri" w:cs="Calibri" w:eastAsia="Calibri" w:hAnsi="Calibri"/>
          <w:rtl w:val="0"/>
        </w:rPr>
        <w:t xml:space="preserve">12 maggio 2026 </w:t>
      </w:r>
      <w:r w:rsidDel="00000000" w:rsidR="00000000" w:rsidRPr="00000000">
        <w:rPr>
          <w:rFonts w:ascii="Calibri" w:cs="Calibri" w:eastAsia="Calibri" w:hAnsi="Calibri"/>
          <w:color w:val="000000"/>
          <w:rtl w:val="0"/>
        </w:rPr>
        <w:t xml:space="preserve"> – </w:t>
      </w:r>
      <w:r w:rsidDel="00000000" w:rsidR="00000000" w:rsidRPr="00000000">
        <w:rPr>
          <w:rFonts w:ascii="Calibri" w:cs="Calibri" w:eastAsia="Calibri" w:hAnsi="Calibri"/>
          <w:rtl w:val="0"/>
        </w:rPr>
        <w:t xml:space="preserve">360 Welfare, Coverflex, Day, Edenred Italia, Satispay e Welfare </w:t>
      </w:r>
      <w:r w:rsidDel="00000000" w:rsidR="00000000" w:rsidRPr="00000000">
        <w:rPr>
          <w:rFonts w:ascii="Calibri" w:cs="Calibri" w:eastAsia="Calibri" w:hAnsi="Calibri"/>
          <w:rtl w:val="0"/>
        </w:rPr>
        <w:t xml:space="preserve">Pellegrini</w:t>
      </w:r>
      <w:r w:rsidDel="00000000" w:rsidR="00000000" w:rsidRPr="00000000">
        <w:rPr>
          <w:rFonts w:ascii="Calibri" w:cs="Calibri" w:eastAsia="Calibri" w:hAnsi="Calibri"/>
          <w:rtl w:val="0"/>
        </w:rPr>
        <w:t xml:space="preserve">: sono questi i buoni pasto che  vengono accettati nei punti vendita Lidl, grazie agli accordi siglati tra l’Azienda e </w:t>
      </w:r>
      <w:r w:rsidDel="00000000" w:rsidR="00000000" w:rsidRPr="00000000">
        <w:rPr>
          <w:rFonts w:ascii="Calibri" w:cs="Calibri" w:eastAsia="Calibri" w:hAnsi="Calibri"/>
          <w:rtl w:val="0"/>
        </w:rPr>
        <w:t xml:space="preserve">tali </w:t>
      </w:r>
      <w:r w:rsidDel="00000000" w:rsidR="00000000" w:rsidRPr="00000000">
        <w:rPr>
          <w:rFonts w:ascii="Calibri" w:cs="Calibri" w:eastAsia="Calibri" w:hAnsi="Calibri"/>
          <w:rtl w:val="0"/>
        </w:rPr>
        <w:t xml:space="preserve">emettitori. </w:t>
      </w:r>
      <w:r w:rsidDel="00000000" w:rsidR="00000000" w:rsidRPr="00000000">
        <w:rPr>
          <w:rFonts w:ascii="Calibri" w:cs="Calibri" w:eastAsia="Calibri" w:hAnsi="Calibri"/>
          <w:rtl w:val="0"/>
        </w:rPr>
        <w:t xml:space="preserve">Ciò consente</w:t>
      </w:r>
      <w:r w:rsidDel="00000000" w:rsidR="00000000" w:rsidRPr="00000000">
        <w:rPr>
          <w:rFonts w:ascii="Calibri" w:cs="Calibri" w:eastAsia="Calibri" w:hAnsi="Calibri"/>
          <w:color w:val="000000"/>
          <w:rtl w:val="0"/>
        </w:rPr>
        <w:t xml:space="preserve"> ai circa</w:t>
      </w:r>
      <w:r w:rsidDel="00000000" w:rsidR="00000000" w:rsidRPr="00000000">
        <w:rPr>
          <w:rFonts w:ascii="Calibri" w:cs="Calibri" w:eastAsia="Calibri" w:hAnsi="Calibri"/>
          <w:color w:val="000000"/>
          <w:rtl w:val="0"/>
        </w:rPr>
        <w:t xml:space="preserve"> 3,5 milioni di lavoratori </w:t>
      </w:r>
      <w:r w:rsidDel="00000000" w:rsidR="00000000" w:rsidRPr="00000000">
        <w:rPr>
          <w:rFonts w:ascii="Calibri" w:cs="Calibri" w:eastAsia="Calibri" w:hAnsi="Calibri"/>
          <w:color w:val="000000"/>
          <w:rtl w:val="0"/>
        </w:rPr>
        <w:t xml:space="preserve">che percepiscono questo benefit di utilizzarlo </w:t>
      </w:r>
      <w:r w:rsidDel="00000000" w:rsidR="00000000" w:rsidRPr="00000000">
        <w:rPr>
          <w:rFonts w:ascii="Calibri" w:cs="Calibri" w:eastAsia="Calibri" w:hAnsi="Calibri"/>
          <w:rtl w:val="0"/>
        </w:rPr>
        <w:t xml:space="preserve">in tutti gli</w:t>
      </w:r>
      <w:r w:rsidDel="00000000" w:rsidR="00000000" w:rsidRPr="00000000">
        <w:rPr>
          <w:rFonts w:ascii="Calibri" w:cs="Calibri" w:eastAsia="Calibri" w:hAnsi="Calibri"/>
          <w:color w:val="000000"/>
          <w:rtl w:val="0"/>
        </w:rPr>
        <w:t xml:space="preserve"> 800</w:t>
      </w:r>
      <w:r w:rsidDel="00000000" w:rsidR="00000000" w:rsidRPr="00000000">
        <w:rPr>
          <w:rFonts w:ascii="Calibri" w:cs="Calibri" w:eastAsia="Calibri" w:hAnsi="Calibri"/>
          <w:rtl w:val="0"/>
        </w:rPr>
        <w:t xml:space="preserve"> store Lidl</w:t>
      </w:r>
      <w:r w:rsidDel="00000000" w:rsidR="00000000" w:rsidRPr="00000000">
        <w:rPr>
          <w:rFonts w:ascii="Calibri" w:cs="Calibri" w:eastAsia="Calibri" w:hAnsi="Calibri"/>
          <w:color w:val="000000"/>
          <w:rtl w:val="0"/>
        </w:rPr>
        <w:t xml:space="preserve">, sia in formato cartaceo sia elettronico.</w:t>
      </w:r>
      <w:r w:rsidDel="00000000" w:rsidR="00000000" w:rsidRPr="00000000">
        <w:rPr>
          <w:rtl w:val="0"/>
        </w:rPr>
      </w:r>
    </w:p>
    <w:p w:rsidR="00000000" w:rsidDel="00000000" w:rsidP="00000000" w:rsidRDefault="00000000" w:rsidRPr="00000000" w14:paraId="00000005">
      <w:pPr>
        <w:spacing w:after="0"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0" w:line="276" w:lineRule="auto"/>
        <w:jc w:val="both"/>
        <w:rPr>
          <w:rFonts w:ascii="Calibri" w:cs="Calibri" w:eastAsia="Calibri" w:hAnsi="Calibri"/>
        </w:rPr>
      </w:pPr>
      <w:r w:rsidDel="00000000" w:rsidR="00000000" w:rsidRPr="00000000">
        <w:rPr>
          <w:rFonts w:ascii="Calibri" w:cs="Calibri" w:eastAsia="Calibri" w:hAnsi="Calibri"/>
          <w:rtl w:val="0"/>
        </w:rPr>
        <w:t xml:space="preserve">L’introduzione del servizio si inserisce in un contesto in cui l’utilizzo dei Buoni Pasto ha conosciuto un’evoluzione significativa. Nati come strumento legato principalmente al consumo fuori casa, oggi rappresentano per molti lavoratori una leva di maggiore flessibilità nella gestione della spesa alimentare quotidiana. In particolare, secondo la ricerca</w:t>
      </w:r>
      <w:r w:rsidDel="00000000" w:rsidR="00000000" w:rsidRPr="00000000">
        <w:rPr>
          <w:rFonts w:ascii="Calibri" w:cs="Calibri" w:eastAsia="Calibri" w:hAnsi="Calibri"/>
          <w:i w:val="1"/>
          <w:iCs w:val="1"/>
          <w:rtl w:val="0"/>
        </w:rPr>
        <w:t xml:space="preserve"> “L’impatto sociale ed economico dei buoni pasto”</w:t>
      </w:r>
      <w:r w:rsidDel="00000000" w:rsidR="00000000" w:rsidRPr="00000000">
        <w:rPr>
          <w:rFonts w:ascii="Calibri" w:cs="Calibri" w:eastAsia="Calibri" w:hAnsi="Calibri"/>
          <w:rtl w:val="0"/>
        </w:rPr>
        <w:t xml:space="preserve"> promossa da ANSEB - Associazione Nazionale Società Emettitrici Buoni Pasto - in collaborazione con ALTIS -</w:t>
      </w:r>
      <w:r w:rsidDel="00000000" w:rsidR="00000000" w:rsidRPr="00000000">
        <w:rPr>
          <w:rFonts w:ascii="Calibri" w:cs="Calibri" w:eastAsia="Calibri" w:hAnsi="Calibri"/>
          <w:rtl w:val="0"/>
        </w:rPr>
        <w:t xml:space="preserve"> Graduate School of Sustainable Management dell’Università Cattolica del Sacro Cuore</w:t>
      </w:r>
      <w:r w:rsidDel="00000000" w:rsidR="00000000" w:rsidRPr="00000000">
        <w:rPr>
          <w:rFonts w:ascii="Calibri" w:cs="Calibri" w:eastAsia="Calibri" w:hAnsi="Calibri"/>
          <w:rtl w:val="0"/>
        </w:rPr>
        <w:t xml:space="preserve">, quasi </w:t>
      </w:r>
      <w:r w:rsidDel="00000000" w:rsidR="00000000" w:rsidRPr="00000000">
        <w:rPr>
          <w:rFonts w:ascii="Calibri" w:cs="Calibri" w:eastAsia="Calibri" w:hAnsi="Calibri"/>
          <w:b w:val="1"/>
          <w:bCs w:val="1"/>
          <w:rtl w:val="0"/>
        </w:rPr>
        <w:t xml:space="preserve">9 beneficiari su 10</w:t>
      </w:r>
      <w:r w:rsidDel="00000000" w:rsidR="00000000" w:rsidRPr="00000000">
        <w:rPr>
          <w:rFonts w:ascii="Calibri" w:cs="Calibri" w:eastAsia="Calibri" w:hAnsi="Calibri"/>
          <w:b w:val="1"/>
          <w:bCs w:val="1"/>
          <w:rtl w:val="0"/>
        </w:rPr>
        <w:t xml:space="preserve"> li utilizzano anche per la spesa</w:t>
      </w:r>
      <w:r w:rsidDel="00000000" w:rsidR="00000000" w:rsidRPr="00000000">
        <w:rPr>
          <w:rFonts w:ascii="Calibri" w:cs="Calibri" w:eastAsia="Calibri" w:hAnsi="Calibri"/>
          <w:rtl w:val="0"/>
        </w:rPr>
        <w:t xml:space="preserve">.</w:t>
      </w:r>
    </w:p>
    <w:p w:rsidR="00000000" w:rsidDel="00000000" w:rsidP="00000000" w:rsidRDefault="00000000" w:rsidRPr="00000000" w14:paraId="00000007">
      <w:pPr>
        <w:spacing w:after="0"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8">
      <w:pPr>
        <w:spacing w:after="0" w:line="276"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«Dare la possibilità di utilizzare i buoni pasto in tutta la rete Lidl è una scelta che valorizza la capillarità dei nostri punti vendita e ci permette di essere ancora più vicini alla quotidianità dei nostri clienti”, </w:t>
      </w:r>
      <w:r w:rsidDel="00000000" w:rsidR="00000000" w:rsidRPr="00000000">
        <w:rPr>
          <w:rFonts w:ascii="Calibri" w:cs="Calibri" w:eastAsia="Calibri" w:hAnsi="Calibri"/>
          <w:rtl w:val="0"/>
        </w:rPr>
        <w:t xml:space="preserve">dichiara </w:t>
      </w:r>
      <w:r w:rsidDel="00000000" w:rsidR="00000000" w:rsidRPr="00000000">
        <w:rPr>
          <w:rFonts w:ascii="Calibri" w:cs="Calibri" w:eastAsia="Calibri" w:hAnsi="Calibri"/>
          <w:b w:val="1"/>
          <w:bCs w:val="1"/>
          <w:rtl w:val="0"/>
        </w:rPr>
        <w:t xml:space="preserve">Martin Brandenburger, CEO Lidl Italia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iCs w:val="1"/>
          <w:rtl w:val="0"/>
        </w:rPr>
        <w:t xml:space="preserve">Trasformiamo un’esigenza sempre più diffusa in un servizio concreto, in linea con il nostro impegno a tutela del potere d'acquisto delle famiglie, consapevoli che il nostro ottimo rapporto qualità prezzo porti ancora più valore”. </w:t>
      </w:r>
    </w:p>
    <w:p w:rsidR="00000000" w:rsidDel="00000000" w:rsidP="00000000" w:rsidRDefault="00000000" w:rsidRPr="00000000" w14:paraId="00000009">
      <w:pPr>
        <w:spacing w:after="0" w:line="276" w:lineRule="auto"/>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line="276" w:lineRule="auto"/>
        <w:jc w:val="both"/>
        <w:rPr>
          <w:rFonts w:ascii="Calibri" w:cs="Calibri" w:eastAsia="Calibri" w:hAnsi="Calibri"/>
          <w:b w:val="1"/>
          <w:bCs w:val="1"/>
          <w:color w:val="1f497d"/>
          <w:sz w:val="18"/>
          <w:szCs w:val="18"/>
        </w:rPr>
      </w:pPr>
      <w:r w:rsidDel="00000000" w:rsidR="00000000" w:rsidRPr="00000000">
        <w:rPr>
          <w:rFonts w:ascii="Calibri" w:cs="Calibri" w:eastAsia="Calibri" w:hAnsi="Calibri"/>
          <w:b w:val="1"/>
          <w:bCs w:val="1"/>
          <w:color w:val="1f497d"/>
          <w:sz w:val="18"/>
          <w:szCs w:val="18"/>
          <w:rtl w:val="0"/>
        </w:rPr>
        <w:t xml:space="preserve">Company Profile Lidl</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200" w:line="276" w:lineRule="auto"/>
        <w:jc w:val="both"/>
        <w:rPr>
          <w:rFonts w:ascii="Lidl Font Pro" w:cs="Lidl Font Pro" w:eastAsia="Lidl Font Pro" w:hAnsi="Lidl Font Pro"/>
          <w:sz w:val="18"/>
          <w:szCs w:val="18"/>
        </w:rPr>
      </w:pPr>
      <w:r w:rsidDel="00000000" w:rsidR="00000000" w:rsidRPr="00000000">
        <w:rPr>
          <w:rFonts w:ascii="Lidl Font Pro" w:cs="Lidl Font Pro" w:eastAsia="Lidl Font Pro" w:hAnsi="Lidl Font Pro"/>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oltre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LIDL Italia S.r.l. a socio unico - Corporate Affairs </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Via Augusto Ruffo, 36 - 37040 Arcole (VR) </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E-mail: stampa@lidl.it </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Calibri" w:cs="Calibri" w:eastAsia="Calibri" w:hAnsi="Calibri"/>
        </w:rPr>
      </w:pPr>
      <w:hyperlink r:id="rId7">
        <w:r w:rsidDel="00000000" w:rsidR="00000000" w:rsidRPr="00000000">
          <w:rPr>
            <w:rFonts w:ascii="Calibri" w:cs="Calibri" w:eastAsia="Calibri" w:hAnsi="Calibri"/>
            <w:color w:val="0000ff"/>
            <w:sz w:val="18"/>
            <w:szCs w:val="18"/>
            <w:u w:val="single"/>
            <w:rtl w:val="0"/>
          </w:rPr>
          <w:t xml:space="preserve">www.lidl.it</w:t>
        </w:r>
      </w:hyperlink>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134" w:top="1417" w:left="1134" w:right="1134" w:header="1020.472440944882"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 w:name="Lidl Font Pr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36"/>
        <w:tab w:val="right" w:leader="none" w:pos="9072"/>
      </w:tabs>
      <w:spacing w:after="0" w:line="276" w:lineRule="auto"/>
      <w:jc w:val="right"/>
      <w:rPr>
        <w:sz w:val="20"/>
        <w:szCs w:val="20"/>
      </w:rPr>
    </w:pPr>
    <w:r w:rsidDel="00000000" w:rsidR="00000000" w:rsidRPr="00000000">
      <w:rPr>
        <w:rFonts w:ascii="Calibri" w:cs="Calibri" w:eastAsia="Calibri" w:hAnsi="Calibri"/>
        <w:b w:val="1"/>
        <w:bCs w:val="1"/>
        <w:color w:val="808080"/>
        <w:sz w:val="16"/>
        <w:szCs w:val="16"/>
      </w:rPr>
      <w:fldChar w:fldCharType="begin"/>
      <w:instrText xml:space="preserve">PAGE</w:instrText>
      <w:fldChar w:fldCharType="separate"/>
      <w:fldChar w:fldCharType="end"/>
    </w:r>
    <w:r w:rsidDel="00000000" w:rsidR="00000000" w:rsidRPr="00000000">
      <w:rPr>
        <w:rFonts w:ascii="Calibri" w:cs="Calibri" w:eastAsia="Calibri" w:hAnsi="Calibri"/>
        <w:color w:val="808080"/>
        <w:sz w:val="16"/>
        <w:szCs w:val="16"/>
        <w:rtl w:val="0"/>
      </w:rPr>
      <w:t xml:space="preserve"> | </w:t>
    </w:r>
    <w:r w:rsidDel="00000000" w:rsidR="00000000" w:rsidRPr="00000000">
      <w:rPr>
        <w:rFonts w:ascii="Calibri" w:cs="Calibri" w:eastAsia="Calibri" w:hAnsi="Calibri"/>
        <w:b w:val="1"/>
        <w:bCs w:val="1"/>
        <w:color w:val="808080"/>
        <w:sz w:val="16"/>
        <w:szCs w:val="16"/>
      </w:rPr>
      <w:fldChar w:fldCharType="begin"/>
      <w:instrText xml:space="preserve">NUMPAGES</w:instrText>
      <w:fldChar w:fldCharType="separate"/>
      <w:fldChar w:fldCharType="end"/>
    </w:r>
    <w:r w:rsidDel="00000000" w:rsidR="00000000" w:rsidRPr="00000000">
      <w:rPr>
        <w:rFonts w:ascii="Calibri" w:cs="Calibri" w:eastAsia="Calibri" w:hAnsi="Calibri"/>
        <w:sz w:val="22"/>
        <w:szCs w:val="22"/>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-90458</wp:posOffset>
              </wp:positionH>
              <wp:positionV relativeFrom="paragraph">
                <wp:posOffset>9727963</wp:posOffset>
              </wp:positionV>
              <wp:extent cx="5944777" cy="647903"/>
              <wp:effectExtent b="0" l="0" r="0" t="0"/>
              <wp:wrapNone/>
              <wp:docPr id="2" name=""/>
              <a:graphic>
                <a:graphicData uri="http://schemas.microsoft.com/office/word/2010/wordprocessingShape">
                  <wps:wsp>
                    <wps:cNvSpPr/>
                    <wps:cNvPr id="3" name="Shape 3"/>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-90458</wp:posOffset>
              </wp:positionH>
              <wp:positionV relativeFrom="paragraph">
                <wp:posOffset>9727963</wp:posOffset>
              </wp:positionV>
              <wp:extent cx="5944777" cy="647903"/>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944777" cy="647903"/>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-121709</wp:posOffset>
              </wp:positionH>
              <wp:positionV relativeFrom="paragraph">
                <wp:posOffset>-204334</wp:posOffset>
              </wp:positionV>
              <wp:extent cx="12700" cy="12700"/>
              <wp:effectExtent b="0" l="0" r="0" t="0"/>
              <wp:wrapNone/>
              <wp:docPr id="1"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-121709</wp:posOffset>
              </wp:positionH>
              <wp:positionV relativeFrom="paragraph">
                <wp:posOffset>-204334</wp:posOffset>
              </wp:positionV>
              <wp:extent cx="12700" cy="12700"/>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tabs>
        <w:tab w:val="center" w:leader="none" w:pos="4536"/>
        <w:tab w:val="right" w:leader="none" w:pos="9072"/>
        <w:tab w:val="right" w:leader="none" w:pos="9044"/>
      </w:tabs>
      <w:spacing w:after="0" w:line="276" w:lineRule="auto"/>
      <w:jc w:val="right"/>
      <w:rPr/>
    </w:pPr>
    <w:r w:rsidDel="00000000" w:rsidR="00000000" w:rsidRPr="00000000">
      <w:rPr>
        <w:rFonts w:ascii="Calibri" w:cs="Calibri" w:eastAsia="Calibri" w:hAnsi="Calibri"/>
        <w:b w:val="1"/>
        <w:bCs w:val="1"/>
        <w:color w:val="808080"/>
        <w:sz w:val="16"/>
        <w:szCs w:val="16"/>
      </w:rPr>
      <w:fldChar w:fldCharType="begin"/>
      <w:instrText xml:space="preserve">PAGE</w:instrText>
      <w:fldChar w:fldCharType="separate"/>
      <w:fldChar w:fldCharType="end"/>
    </w:r>
    <w:r w:rsidDel="00000000" w:rsidR="00000000" w:rsidRPr="00000000">
      <w:rPr>
        <w:rFonts w:ascii="Calibri" w:cs="Calibri" w:eastAsia="Calibri" w:hAnsi="Calibri"/>
        <w:color w:val="808080"/>
        <w:sz w:val="16"/>
        <w:szCs w:val="16"/>
        <w:rtl w:val="0"/>
      </w:rPr>
      <w:t xml:space="preserve"> | </w:t>
    </w:r>
    <w:r w:rsidDel="00000000" w:rsidR="00000000" w:rsidRPr="00000000">
      <w:rPr>
        <w:rFonts w:ascii="Calibri" w:cs="Calibri" w:eastAsia="Calibri" w:hAnsi="Calibri"/>
        <w:b w:val="1"/>
        <w:bCs w:val="1"/>
        <w:color w:val="80808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spacing w:after="280" w:before="280" w:line="240" w:lineRule="auto"/>
      <w:rPr>
        <w:rFonts w:ascii="Calibri" w:cs="Calibri" w:eastAsia="Calibri" w:hAnsi="Calibri"/>
        <w:color w:val="1f497d"/>
        <w:sz w:val="36"/>
        <w:szCs w:val="36"/>
      </w:rPr>
    </w:pPr>
    <w:r w:rsidDel="00000000" w:rsidR="00000000" w:rsidRPr="00000000">
      <w:rPr>
        <w:rFonts w:ascii="Calibri" w:cs="Calibri" w:eastAsia="Calibri" w:hAnsi="Calibri"/>
        <w:b w:val="1"/>
        <w:bCs w:val="1"/>
        <w:color w:val="1f497d"/>
        <w:sz w:val="36"/>
        <w:szCs w:val="36"/>
      </w:rPr>
      <w:drawing>
        <wp:anchor allowOverlap="1" behindDoc="1" distB="0" distT="0" distL="0" distR="0" hidden="0" layoutInCell="1" locked="0" relativeHeight="0" simplePos="0">
          <wp:simplePos x="0" y="0"/>
          <wp:positionH relativeFrom="page">
            <wp:posOffset>6125535</wp:posOffset>
          </wp:positionH>
          <wp:positionV relativeFrom="page">
            <wp:posOffset>470803</wp:posOffset>
          </wp:positionV>
          <wp:extent cx="718185" cy="718185"/>
          <wp:effectExtent b="0" l="0" r="0" t="0"/>
          <wp:wrapNone/>
          <wp:docPr descr="Immagine 14" id="4" name="image1.png"/>
          <a:graphic>
            <a:graphicData uri="http://schemas.openxmlformats.org/drawingml/2006/picture">
              <pic:pic>
                <pic:nvPicPr>
                  <pic:cNvPr descr="Immagine 14" id="0" name="image1.png"/>
                  <pic:cNvPicPr preferRelativeResize="0"/>
                </pic:nvPicPr>
                <pic:blipFill>
                  <a:blip r:embed="rId1"/>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1"/>
        <w:bCs w:val="1"/>
        <w:color w:val="1f497d"/>
        <w:sz w:val="36"/>
        <w:szCs w:val="36"/>
        <w:rtl w:val="0"/>
      </w:rPr>
      <w:t xml:space="preserve">COMUNICATO </w:t>
    </w:r>
    <w:r w:rsidDel="00000000" w:rsidR="00000000" w:rsidRPr="00000000">
      <w:rPr>
        <w:rFonts w:ascii="Calibri" w:cs="Calibri" w:eastAsia="Calibri" w:hAnsi="Calibri"/>
        <w:color w:val="1f497d"/>
        <w:sz w:val="36"/>
        <w:szCs w:val="36"/>
        <w:rtl w:val="0"/>
      </w:rPr>
      <w:t xml:space="preserve">STAMPA</w:t>
    </w:r>
  </w:p>
  <w:p w:rsidR="00000000" w:rsidDel="00000000" w:rsidP="00000000" w:rsidRDefault="00000000" w:rsidRPr="00000000" w14:paraId="00000011">
    <w:pPr>
      <w:spacing w:after="280" w:before="280" w:line="240" w:lineRule="auto"/>
      <w:rPr>
        <w:rFonts w:ascii="Calibri" w:cs="Calibri" w:eastAsia="Calibri" w:hAnsi="Calibri"/>
        <w:color w:val="1f497d"/>
        <w:sz w:val="36"/>
        <w:szCs w:val="36"/>
      </w:rPr>
    </w:pPr>
    <w:r w:rsidDel="00000000" w:rsidR="00000000" w:rsidRPr="00000000">
      <w:pict>
        <v:rect style="width:0.0pt;height:1.5pt" o:hr="t" o:hrstd="t" o:hralign="center" fillcolor="#A0A0A0" stroked="f"/>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spacing w:after="280" w:before="280" w:line="240" w:lineRule="auto"/>
      <w:rPr>
        <w:rFonts w:ascii="Calibri" w:cs="Calibri" w:eastAsia="Calibri" w:hAnsi="Calibri"/>
        <w:color w:val="1f497d"/>
        <w:sz w:val="36"/>
        <w:szCs w:val="36"/>
      </w:rPr>
    </w:pPr>
    <w:r w:rsidDel="00000000" w:rsidR="00000000" w:rsidRPr="00000000">
      <w:rPr>
        <w:rFonts w:ascii="Calibri" w:cs="Calibri" w:eastAsia="Calibri" w:hAnsi="Calibri"/>
        <w:b w:val="1"/>
        <w:bCs w:val="1"/>
        <w:color w:val="1f497d"/>
        <w:sz w:val="36"/>
        <w:szCs w:val="36"/>
      </w:rPr>
      <w:drawing>
        <wp:anchor allowOverlap="1" behindDoc="1" distB="0" distT="0" distL="0" distR="0" hidden="0" layoutInCell="1" locked="0" relativeHeight="0" simplePos="0">
          <wp:simplePos x="0" y="0"/>
          <wp:positionH relativeFrom="page">
            <wp:posOffset>6125535</wp:posOffset>
          </wp:positionH>
          <wp:positionV relativeFrom="page">
            <wp:posOffset>451753</wp:posOffset>
          </wp:positionV>
          <wp:extent cx="718185" cy="718185"/>
          <wp:effectExtent b="0" l="0" r="0" t="0"/>
          <wp:wrapNone/>
          <wp:docPr descr="Immagine 14" id="3" name="image1.png"/>
          <a:graphic>
            <a:graphicData uri="http://schemas.openxmlformats.org/drawingml/2006/picture">
              <pic:pic>
                <pic:nvPicPr>
                  <pic:cNvPr descr="Immagine 14" id="0" name="image1.png"/>
                  <pic:cNvPicPr preferRelativeResize="0"/>
                </pic:nvPicPr>
                <pic:blipFill>
                  <a:blip r:embed="rId1"/>
                  <a:srcRect b="0" l="0" r="0" t="0"/>
                  <a:stretch>
                    <a:fillRect/>
                  </a:stretch>
                </pic:blipFill>
                <pic:spPr>
                  <a:xfrm>
                    <a:off x="0" y="0"/>
                    <a:ext cx="718185" cy="718185"/>
                  </a:xfrm>
                  <a:prstGeom prst="rect"/>
                  <a:ln/>
                </pic:spPr>
              </pic:pic>
            </a:graphicData>
          </a:graphic>
        </wp:anchor>
      </w:drawing>
    </w:r>
    <w:r w:rsidDel="00000000" w:rsidR="00000000" w:rsidRPr="00000000">
      <w:rPr>
        <w:rFonts w:ascii="Calibri" w:cs="Calibri" w:eastAsia="Calibri" w:hAnsi="Calibri"/>
        <w:b w:val="1"/>
        <w:bCs w:val="1"/>
        <w:color w:val="1f497d"/>
        <w:sz w:val="36"/>
        <w:szCs w:val="36"/>
        <w:rtl w:val="0"/>
      </w:rPr>
      <w:t xml:space="preserve">COMUNICATO </w:t>
    </w:r>
    <w:r w:rsidDel="00000000" w:rsidR="00000000" w:rsidRPr="00000000">
      <w:rPr>
        <w:rFonts w:ascii="Calibri" w:cs="Calibri" w:eastAsia="Calibri" w:hAnsi="Calibri"/>
        <w:color w:val="1f497d"/>
        <w:sz w:val="36"/>
        <w:szCs w:val="36"/>
        <w:rtl w:val="0"/>
      </w:rPr>
      <w:t xml:space="preserve">STAMPA</w:t>
    </w:r>
  </w:p>
  <w:p w:rsidR="00000000" w:rsidDel="00000000" w:rsidP="00000000" w:rsidRDefault="00000000" w:rsidRPr="00000000" w14:paraId="00000013">
    <w:pPr>
      <w:spacing w:after="280" w:before="280" w:line="240" w:lineRule="auto"/>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it"/>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lidl.i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LidlFontPro-regular.ttf"/><Relationship Id="rId4" Type="http://schemas.openxmlformats.org/officeDocument/2006/relationships/font" Target="fonts/LidlFontPro-bold.ttf"/><Relationship Id="rId5" Type="http://schemas.openxmlformats.org/officeDocument/2006/relationships/font" Target="fonts/LidlFontPro-italic.ttf"/><Relationship Id="rId6"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13RPciTtCQ89bwfW538CXFaGww==">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